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53" w:rsidRPr="00F83953" w:rsidRDefault="00F83953" w:rsidP="00F83953">
      <w:pPr>
        <w:spacing w:before="100" w:after="100" w:line="522" w:lineRule="atLeast"/>
        <w:outlineLvl w:val="1"/>
        <w:rPr>
          <w:rFonts w:ascii="Arial" w:eastAsia="Times New Roman" w:hAnsi="Arial" w:cs="Arial"/>
          <w:color w:val="323036"/>
          <w:sz w:val="44"/>
          <w:szCs w:val="44"/>
          <w:lang w:eastAsia="ru-RU"/>
        </w:rPr>
      </w:pPr>
      <w:r w:rsidRPr="00F83953">
        <w:rPr>
          <w:rFonts w:ascii="Arial" w:eastAsia="Times New Roman" w:hAnsi="Arial" w:cs="Arial"/>
          <w:color w:val="323036"/>
          <w:sz w:val="44"/>
          <w:szCs w:val="44"/>
          <w:lang w:eastAsia="ru-RU"/>
        </w:rPr>
        <w:t>Приказ от 07.04.2016 №95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right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Опубликовано: 11.04.2016г.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Зарегистрировано в Министерстве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юстиции Донецкой Народной Республики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под регистрационным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№1137 от 11.04.2016г.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ПРИКАЗ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07.04.2016г.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№95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О перемещении товаров, транспортных средств,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и иных предметов через таможенную границу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Донецкой Народной Республики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proofErr w:type="gramStart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С целью реализации таможенной политики Донецкой Народной Республики, руководствуясь Временным положением о Министерстве доходов и сборов Донецкой Народной Республики, утверждённым Постановлением Совета Министров Донецкой Народной Республики от 06.10.2014 года №37-8, а также Временным Положением о таможенной системе Донецкой Народной Республики, утвержденным  Постановлением Совета Министров Донецкой Народной Республики от 10.01.2015г. №1-23,</w:t>
      </w:r>
      <w:proofErr w:type="gramEnd"/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ПРИКАЗЫВАЮ: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1. </w:t>
      </w:r>
      <w:proofErr w:type="gramStart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Юридическим лицам, физическим лицам-предпринимателям и гражданам осуществлять перемещение товаров, транспортных средств и иных предметов через таможенную границу Донецкой Народной Республики исключительно через таможенные посты (пункты пропуска,  места проведения контроля) Донецкой Народной Республики, в соответствии с Перечнем таможенных постов (пунктов 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lastRenderedPageBreak/>
        <w:t>пропуска,  мест проведения контроля), через которые осуществляется ввоз, вывоз либо транзит товаров, транспортных средств и иных предметов через таможенную территорию Донецкой</w:t>
      </w:r>
      <w:proofErr w:type="gramEnd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 Народной Республики (далее – Перечень) (приложение 1), в порядке, установленном действующим законодательством Донецкой Народной Республики.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2. Департаменту таможенного дела Министерства доходов и сборов Донецкой Народной Республики: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а) осуществлять таможенный </w:t>
      </w:r>
      <w:proofErr w:type="gramStart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контроль за</w:t>
      </w:r>
      <w:proofErr w:type="gramEnd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 перемещением товаров, транспортных средств и иных предметов юридическими лицами, физическими лицами-предпринимателями и гражданами непосредственно на таможенных постах (пунктах пропуска, местах проведения контроля), в соответствии с Перечнем;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б) обеспечить привлечение к установленной законодательством Донецкой Народной Республики ответственности лиц, в случае нарушения требований пункта 1 настоящего приказа.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3. Приказ Министерства доходов и сборов от 05.03.2016г. № 63 признать утратившим силу.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4. </w:t>
      </w:r>
      <w:proofErr w:type="gramStart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Контроль за</w:t>
      </w:r>
      <w:proofErr w:type="gramEnd"/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 xml:space="preserve"> исполнением настоящего приказа возложить на заместителя Министра – Директора Департамента таможенного дела (Панкова В.В.).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both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5. Настоящий приказ вступает со дня его официального опубликования.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Министр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А.Ю. Тимофеев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Приложение 1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к приказу Министерства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доходов и сборов Донецкой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Народной Республики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от 07.04.2016г. № 95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t> </w:t>
      </w:r>
    </w:p>
    <w:p w:rsidR="00F83953" w:rsidRPr="00F83953" w:rsidRDefault="00F83953" w:rsidP="00F83953">
      <w:pPr>
        <w:shd w:val="clear" w:color="auto" w:fill="FCFCFC"/>
        <w:spacing w:before="218" w:after="218" w:line="240" w:lineRule="auto"/>
        <w:jc w:val="center"/>
        <w:rPr>
          <w:rFonts w:ascii="Arial" w:eastAsia="Times New Roman" w:hAnsi="Arial" w:cs="Arial"/>
          <w:color w:val="3D3E3D"/>
          <w:sz w:val="27"/>
          <w:szCs w:val="27"/>
          <w:lang w:eastAsia="ru-RU"/>
        </w:rPr>
      </w:pP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lastRenderedPageBreak/>
        <w:t>Перечень таможенных постов (пунктов пропуска,  мест проведения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контроля), через которые осуществляется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ввоз, вывоз либо транзит товаров, транспортных средств и иных предметов</w:t>
      </w:r>
      <w:r w:rsidRPr="00F83953">
        <w:rPr>
          <w:rFonts w:ascii="Arial" w:eastAsia="Times New Roman" w:hAnsi="Arial" w:cs="Arial"/>
          <w:color w:val="3D3E3D"/>
          <w:sz w:val="27"/>
          <w:szCs w:val="27"/>
          <w:lang w:eastAsia="ru-RU"/>
        </w:rPr>
        <w:br/>
        <w:t>через таможенную территорию Донецкой Народной Республики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4655"/>
        <w:gridCol w:w="5341"/>
      </w:tblGrid>
      <w:tr w:rsidR="00F83953" w:rsidRPr="00F83953" w:rsidTr="00F83953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№</w:t>
            </w:r>
          </w:p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/</w:t>
            </w:r>
            <w:proofErr w:type="spellStart"/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Название таможенного поста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Место расположения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«Иловайск»</w:t>
            </w: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с пунктом контроля  «Иловайск»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Иловайск,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Иловайское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строительно-монтажное управление Донецкой железной дороги, ул.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Ново-Деповская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11а;</w:t>
            </w: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ДНР, грузовой район станции «Иловайск», переулок Школьный, 1а</w:t>
            </w:r>
          </w:p>
        </w:tc>
      </w:tr>
      <w:tr w:rsidR="00F83953" w:rsidRPr="00F83953" w:rsidTr="00F83953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пунктом пропуска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станция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«Новоазовск»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Новоазовский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Роза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автодорога «Мариуполь-Таганрог»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Седово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Новоазовский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пос.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Седово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Седова 2а.</w:t>
            </w:r>
          </w:p>
        </w:tc>
      </w:tr>
      <w:tr w:rsidR="00F83953" w:rsidRPr="00F83953" w:rsidTr="00F83953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«Успенка»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Амвросиевский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Успенка, ул. Ростовская, 1; ДНР, станция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«Мариновка»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Шахтёрский район,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Мариновка, ул. Партизанская, 60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Снежное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Мира, 80, автодорога «Снежное - Красный Луч»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выезд из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пгт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Еленовка, ул. Ленина, 142, автодорога «Донецк - Мариуполь»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выезд из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Докучаевск, автодорога «Докучаевск - Стыла»</w:t>
            </w:r>
          </w:p>
        </w:tc>
      </w:tr>
      <w:tr w:rsidR="00F83953" w:rsidRPr="00F83953" w:rsidTr="00F83953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Таможенный пост «Дорога 2» с местом проведения контроля </w:t>
            </w: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«Дорога 2»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ДНР, г. Донецк, Петровский район, автозаправка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Гамалия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», перекресток </w:t>
            </w: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автодорог «Бродский поселок –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пгт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Луганское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 и «Донецк-Курахово»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«Горловка»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Горловка,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пр-т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Победы, 67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«Горловка»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Горловка, ул. Доломитная, 1б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F83953" w:rsidRPr="00F83953" w:rsidTr="00F83953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«Станция Никитовка»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территория станции Никитовка Донецкой железной дороги,</w:t>
            </w: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Горловка, ул.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Бубнова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34</w:t>
            </w:r>
          </w:p>
        </w:tc>
      </w:tr>
      <w:tr w:rsidR="00F83953" w:rsidRPr="00F83953" w:rsidTr="00F83953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«Дебальцево»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Дебальцево, ул. Ленина,12</w:t>
            </w:r>
          </w:p>
        </w:tc>
      </w:tr>
      <w:tr w:rsidR="00F83953" w:rsidRPr="00F83953" w:rsidTr="00F83953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пос. Октябрьский, ул.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Харьковская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21, район автозаправки «Марс»</w:t>
            </w:r>
          </w:p>
        </w:tc>
      </w:tr>
      <w:tr w:rsidR="00F83953" w:rsidRPr="00F83953" w:rsidTr="00F83953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Дебальцево, 759-й км трассы М-03</w:t>
            </w:r>
          </w:p>
        </w:tc>
      </w:tr>
      <w:tr w:rsidR="00F83953" w:rsidRPr="00F83953" w:rsidTr="00F83953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территория станции Дебальцево Донецкой железной дороги, 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Дебальцево, ул. Ленина, 10а</w:t>
            </w:r>
          </w:p>
        </w:tc>
      </w:tr>
      <w:tr w:rsidR="00F83953" w:rsidRPr="00F83953" w:rsidTr="00F83953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F83953" w:rsidRPr="00F83953" w:rsidRDefault="00F83953" w:rsidP="00F8395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Никишино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пос.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Никишино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Ленина, 135</w:t>
            </w:r>
          </w:p>
        </w:tc>
      </w:tr>
      <w:tr w:rsidR="00F83953" w:rsidRPr="00F83953" w:rsidTr="00F83953">
        <w:trPr>
          <w:trHeight w:val="1591"/>
        </w:trPr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«Ясиноватая» с местом проведения контроля «Станция Ясиноватая»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территория станции Ясиноватая Донецкой железной дороги, ул. Октябрьская, 184а, пост ЕЦ-1</w:t>
            </w:r>
          </w:p>
        </w:tc>
      </w:tr>
      <w:tr w:rsidR="00F83953" w:rsidRPr="00F83953" w:rsidTr="00F83953">
        <w:trPr>
          <w:trHeight w:val="938"/>
        </w:trPr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«Октябрь» с местом проведения контроля «Октябрь»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83953" w:rsidRPr="00F83953" w:rsidRDefault="00F83953" w:rsidP="00F83953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Новоазовский</w:t>
            </w:r>
            <w:proofErr w:type="spell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с. Октябрь, ул</w:t>
            </w:r>
            <w:proofErr w:type="gramStart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.К</w:t>
            </w:r>
            <w:proofErr w:type="gramEnd"/>
            <w:r w:rsidRPr="00F8395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оммунаров, 54</w:t>
            </w:r>
          </w:p>
        </w:tc>
      </w:tr>
    </w:tbl>
    <w:p w:rsidR="00052767" w:rsidRDefault="00052767"/>
    <w:sectPr w:rsidR="00052767" w:rsidSect="00F83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953"/>
    <w:rsid w:val="00052767"/>
    <w:rsid w:val="00F8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67"/>
  </w:style>
  <w:style w:type="paragraph" w:styleId="2">
    <w:name w:val="heading 2"/>
    <w:basedOn w:val="a"/>
    <w:link w:val="20"/>
    <w:uiPriority w:val="9"/>
    <w:qFormat/>
    <w:rsid w:val="00F8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4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6" w:space="1" w:color="B4B6B4"/>
            <w:right w:val="none" w:sz="0" w:space="0" w:color="auto"/>
          </w:divBdr>
        </w:div>
        <w:div w:id="81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4395</Characters>
  <Application>Microsoft Office Word</Application>
  <DocSecurity>0</DocSecurity>
  <Lines>36</Lines>
  <Paragraphs>10</Paragraphs>
  <ScaleCrop>false</ScaleCrop>
  <Company>DNA Project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2016-05-11T19:07:00Z</dcterms:created>
  <dcterms:modified xsi:type="dcterms:W3CDTF">2016-05-11T19:07:00Z</dcterms:modified>
</cp:coreProperties>
</file>